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F4" w:rsidRDefault="00855239" w:rsidP="004E6E99">
      <w:pPr>
        <w:ind w:right="-18"/>
        <w:jc w:val="center"/>
        <w:rPr>
          <w:rFonts w:ascii="Times New Roman" w:hAnsi="Times New Roman"/>
          <w:b/>
          <w:sz w:val="26"/>
        </w:rPr>
      </w:pPr>
      <w:r>
        <w:rPr>
          <w:rFonts w:ascii="Times New Roman" w:hAnsi="Times New Roman"/>
          <w:b/>
          <w:sz w:val="26"/>
        </w:rPr>
        <w:t>ARMED SERVICES BOARD OF CONTRACT APPEALS</w:t>
      </w:r>
    </w:p>
    <w:p w:rsidR="00855239" w:rsidRPr="00855239" w:rsidRDefault="00855239" w:rsidP="00855239">
      <w:pPr>
        <w:ind w:right="-18"/>
        <w:jc w:val="center"/>
        <w:rPr>
          <w:rFonts w:ascii="Times New Roman" w:hAnsi="Times New Roman"/>
          <w:b/>
          <w:sz w:val="26"/>
        </w:rPr>
      </w:pPr>
      <w:r>
        <w:rPr>
          <w:rFonts w:ascii="Times New Roman" w:hAnsi="Times New Roman"/>
          <w:b/>
          <w:sz w:val="26"/>
        </w:rPr>
        <w:t>SAMPLE AGREEMENT TO UTILIZE THE MEDIATION PROCEDURE</w:t>
      </w:r>
    </w:p>
    <w:p w:rsidR="001576F4" w:rsidRPr="00855239" w:rsidRDefault="00855239" w:rsidP="004E6E99">
      <w:pPr>
        <w:ind w:right="-18"/>
        <w:jc w:val="center"/>
        <w:rPr>
          <w:rFonts w:ascii="Times New Roman" w:hAnsi="Times New Roman"/>
          <w:i/>
          <w:sz w:val="26"/>
        </w:rPr>
      </w:pPr>
      <w:r>
        <w:rPr>
          <w:rFonts w:ascii="Times New Roman" w:hAnsi="Times New Roman"/>
          <w:i/>
          <w:sz w:val="26"/>
        </w:rPr>
        <w:t>18 May 2017</w:t>
      </w:r>
    </w:p>
    <w:p w:rsidR="001576F4" w:rsidRDefault="001576F4" w:rsidP="004E6E99">
      <w:pPr>
        <w:ind w:right="-18"/>
        <w:rPr>
          <w:rFonts w:ascii="Times New Roman" w:hAnsi="Times New Roman"/>
          <w:sz w:val="26"/>
        </w:rPr>
      </w:pPr>
    </w:p>
    <w:p w:rsidR="001576F4" w:rsidRDefault="001576F4" w:rsidP="004E6E99">
      <w:pPr>
        <w:ind w:right="-18"/>
        <w:rPr>
          <w:rFonts w:ascii="Times New Roman" w:hAnsi="Times New Roman"/>
          <w:sz w:val="26"/>
        </w:rPr>
      </w:pPr>
    </w:p>
    <w:p w:rsidR="00BE4AD8" w:rsidRDefault="001576F4" w:rsidP="004E6E99">
      <w:pPr>
        <w:ind w:right="-18"/>
        <w:rPr>
          <w:rFonts w:ascii="Times New Roman" w:hAnsi="Times New Roman"/>
          <w:sz w:val="26"/>
        </w:rPr>
      </w:pPr>
      <w:r>
        <w:rPr>
          <w:rFonts w:ascii="Times New Roman" w:hAnsi="Times New Roman"/>
          <w:sz w:val="26"/>
        </w:rPr>
        <w:t>[NOTE</w:t>
      </w:r>
      <w:r w:rsidR="000F6B09">
        <w:rPr>
          <w:rFonts w:ascii="Times New Roman" w:hAnsi="Times New Roman"/>
          <w:sz w:val="26"/>
        </w:rPr>
        <w:t xml:space="preserve"> 1</w:t>
      </w:r>
      <w:r>
        <w:rPr>
          <w:rFonts w:ascii="Times New Roman" w:hAnsi="Times New Roman"/>
          <w:sz w:val="26"/>
        </w:rPr>
        <w:t xml:space="preserve">:  The following sample agreement is provided in response to requests the Board receives for examples of ADR agreements that may be suitable for use in ADR proceedings under </w:t>
      </w:r>
      <w:r w:rsidR="009A68E2">
        <w:rPr>
          <w:rFonts w:ascii="Times New Roman" w:hAnsi="Times New Roman"/>
          <w:sz w:val="26"/>
        </w:rPr>
        <w:t xml:space="preserve">Addendum II to the Board’s Rules, </w:t>
      </w:r>
      <w:r w:rsidR="009A68E2">
        <w:rPr>
          <w:rFonts w:ascii="Times New Roman" w:hAnsi="Times New Roman"/>
          <w:sz w:val="26"/>
          <w:u w:val="single"/>
        </w:rPr>
        <w:t>Alternative Methods of Dispute Resolution</w:t>
      </w:r>
      <w:r w:rsidR="009A68E2">
        <w:rPr>
          <w:rFonts w:ascii="Times New Roman" w:hAnsi="Times New Roman"/>
          <w:sz w:val="26"/>
        </w:rPr>
        <w:t>.</w:t>
      </w:r>
      <w:r>
        <w:rPr>
          <w:rFonts w:ascii="Times New Roman" w:hAnsi="Times New Roman"/>
          <w:sz w:val="26"/>
        </w:rPr>
        <w:t xml:space="preserve">  This sample is offered </w:t>
      </w:r>
      <w:r>
        <w:rPr>
          <w:rFonts w:ascii="Times New Roman" w:hAnsi="Times New Roman"/>
          <w:sz w:val="26"/>
          <w:u w:val="single"/>
        </w:rPr>
        <w:t>solely</w:t>
      </w:r>
      <w:r>
        <w:rPr>
          <w:rFonts w:ascii="Times New Roman" w:hAnsi="Times New Roman"/>
          <w:sz w:val="26"/>
        </w:rPr>
        <w:t xml:space="preserve"> as an aid to the parties in focusing their thoughts on the ground rules that will best serve their interests in resolving a particular dispute.  The Board recognizes that one of the strengths of the ADR process would be lost if the same procedural format were insisted on in every case.  Thus, the Board by offering this sample does not intend to restrict the parties’ discretion in tailoring the agreement to meet their particular needs.  Paragraphs 2, 6</w:t>
      </w:r>
      <w:r w:rsidR="000F6B09">
        <w:rPr>
          <w:rFonts w:ascii="Times New Roman" w:hAnsi="Times New Roman"/>
          <w:sz w:val="26"/>
        </w:rPr>
        <w:t>,</w:t>
      </w:r>
      <w:r>
        <w:rPr>
          <w:rFonts w:ascii="Times New Roman" w:hAnsi="Times New Roman"/>
          <w:sz w:val="26"/>
        </w:rPr>
        <w:t xml:space="preserve"> and 9</w:t>
      </w:r>
      <w:r w:rsidR="000F6B09">
        <w:rPr>
          <w:rFonts w:ascii="Times New Roman" w:hAnsi="Times New Roman"/>
          <w:sz w:val="26"/>
        </w:rPr>
        <w:t>-</w:t>
      </w:r>
      <w:r w:rsidR="00855239">
        <w:rPr>
          <w:rFonts w:ascii="Times New Roman" w:hAnsi="Times New Roman"/>
          <w:sz w:val="26"/>
        </w:rPr>
        <w:t>10</w:t>
      </w:r>
      <w:r>
        <w:rPr>
          <w:rFonts w:ascii="Times New Roman" w:hAnsi="Times New Roman"/>
          <w:sz w:val="26"/>
        </w:rPr>
        <w:t>, how</w:t>
      </w:r>
      <w:r w:rsidR="00F551BA">
        <w:rPr>
          <w:rFonts w:ascii="Times New Roman" w:hAnsi="Times New Roman"/>
          <w:sz w:val="26"/>
        </w:rPr>
        <w:t>ever, are key features of the Me</w:t>
      </w:r>
      <w:r>
        <w:rPr>
          <w:rFonts w:ascii="Times New Roman" w:hAnsi="Times New Roman"/>
          <w:sz w:val="26"/>
        </w:rPr>
        <w:t>diation method of ADR</w:t>
      </w:r>
      <w:r w:rsidR="000F6B09">
        <w:rPr>
          <w:rFonts w:ascii="Times New Roman" w:hAnsi="Times New Roman"/>
          <w:sz w:val="26"/>
        </w:rPr>
        <w:t xml:space="preserve"> and are mandatory</w:t>
      </w:r>
      <w:r>
        <w:rPr>
          <w:rFonts w:ascii="Times New Roman" w:hAnsi="Times New Roman"/>
          <w:sz w:val="26"/>
        </w:rPr>
        <w:t>.</w:t>
      </w:r>
    </w:p>
    <w:p w:rsidR="00BE4AD8" w:rsidRDefault="00BE4AD8" w:rsidP="004E6E99">
      <w:pPr>
        <w:ind w:right="-18"/>
        <w:rPr>
          <w:rFonts w:ascii="Times New Roman" w:hAnsi="Times New Roman"/>
          <w:sz w:val="26"/>
        </w:rPr>
      </w:pPr>
    </w:p>
    <w:p w:rsidR="001576F4" w:rsidRDefault="00BE4AD8" w:rsidP="004E6E99">
      <w:pPr>
        <w:ind w:right="-18"/>
        <w:rPr>
          <w:rFonts w:ascii="Times New Roman" w:hAnsi="Times New Roman"/>
          <w:sz w:val="26"/>
        </w:rPr>
      </w:pPr>
      <w:r>
        <w:rPr>
          <w:rFonts w:ascii="Times New Roman" w:hAnsi="Times New Roman"/>
          <w:sz w:val="26"/>
        </w:rPr>
        <w:t>NOTE 2:  The parties are advised that written material prepared specifically for use in an ADR proceeding, oral presentations made at an ADR proceeding, and all discussions in connection with such proceedings are considered “dispute resolution communications” as d</w:t>
      </w:r>
      <w:r w:rsidR="00220CFE">
        <w:rPr>
          <w:rFonts w:ascii="Times New Roman" w:hAnsi="Times New Roman"/>
          <w:sz w:val="26"/>
        </w:rPr>
        <w:t xml:space="preserve">efined in the Administrative Dispute Resolution Act, 5 U.S.C. § 571(5).  Pursuant to paragraph 5 of Addendum II to the Board’s Rules, </w:t>
      </w:r>
      <w:r w:rsidR="00220CFE">
        <w:rPr>
          <w:rFonts w:ascii="Times New Roman" w:hAnsi="Times New Roman"/>
          <w:sz w:val="26"/>
          <w:u w:val="single"/>
        </w:rPr>
        <w:t>Alternative Methods of Dispute Resolution</w:t>
      </w:r>
      <w:r w:rsidR="00220CFE">
        <w:rPr>
          <w:rFonts w:ascii="Times New Roman" w:hAnsi="Times New Roman"/>
          <w:sz w:val="26"/>
        </w:rPr>
        <w:t>, such dispute resolution communications are presumed to be confidential and, unless otherwise specifically agreed by the parties, are inadmissible as evidence in any pending or future Board proceeding involving the parties or matter in dispute; however, evidence otherwise admissible before the Board is not rendered inadmissible because of its use in the ADR proceeding.  Dispute resolution communications are subject to the confidentiality requirements of 5 U.S.C. § 574.</w:t>
      </w:r>
      <w:r w:rsidR="001576F4">
        <w:rPr>
          <w:rFonts w:ascii="Times New Roman" w:hAnsi="Times New Roman"/>
          <w:sz w:val="26"/>
        </w:rPr>
        <w:t>]</w:t>
      </w:r>
    </w:p>
    <w:p w:rsidR="001576F4" w:rsidRDefault="001576F4" w:rsidP="004E6E99">
      <w:pPr>
        <w:ind w:right="-18"/>
        <w:rPr>
          <w:rFonts w:ascii="Times New Roman" w:hAnsi="Times New Roman"/>
          <w:sz w:val="26"/>
        </w:rPr>
      </w:pPr>
    </w:p>
    <w:p w:rsidR="001576F4" w:rsidRDefault="001576F4" w:rsidP="004E6E99">
      <w:pPr>
        <w:spacing w:line="-300" w:lineRule="auto"/>
        <w:ind w:right="-18"/>
        <w:jc w:val="center"/>
        <w:rPr>
          <w:rFonts w:ascii="Times New Roman" w:hAnsi="Times New Roman"/>
          <w:sz w:val="26"/>
        </w:rPr>
      </w:pPr>
      <w:r>
        <w:rPr>
          <w:rFonts w:ascii="Times New Roman" w:hAnsi="Times New Roman"/>
          <w:sz w:val="26"/>
        </w:rPr>
        <w:t>SAMPLE</w:t>
      </w:r>
    </w:p>
    <w:p w:rsidR="001576F4" w:rsidRDefault="001576F4" w:rsidP="004E6E99">
      <w:pPr>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Agreement to Utilize the Mediation Procedure</w:t>
      </w:r>
    </w:p>
    <w:p w:rsidR="001576F4" w:rsidRDefault="001576F4"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Under Addendum II of the ASBCA’s Rules</w:t>
      </w:r>
    </w:p>
    <w:p w:rsidR="001576F4" w:rsidRDefault="001576F4"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(revised 21 July 2014):  Alternative Methods of Dispute Resolution</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E24BF8" w:rsidRDefault="001576F4" w:rsidP="00E24BF8">
      <w:pPr>
        <w:tabs>
          <w:tab w:val="left" w:pos="576"/>
          <w:tab w:val="left" w:pos="1296"/>
          <w:tab w:val="left" w:pos="2016"/>
          <w:tab w:val="left" w:pos="2736"/>
          <w:tab w:val="left" w:pos="3456"/>
          <w:tab w:val="left" w:pos="5670"/>
          <w:tab w:val="left" w:pos="6390"/>
          <w:tab w:val="right" w:pos="8910"/>
        </w:tabs>
        <w:spacing w:line="-300" w:lineRule="auto"/>
        <w:ind w:right="-18"/>
        <w:rPr>
          <w:rFonts w:ascii="Times New Roman" w:hAnsi="Times New Roman"/>
          <w:sz w:val="26"/>
          <w:u w:val="single"/>
        </w:rPr>
      </w:pPr>
      <w:r>
        <w:rPr>
          <w:rFonts w:ascii="Times New Roman" w:hAnsi="Times New Roman"/>
          <w:sz w:val="26"/>
        </w:rPr>
        <w:tab/>
        <w:t>THIS A</w:t>
      </w:r>
      <w:r w:rsidR="004E6E99">
        <w:rPr>
          <w:rFonts w:ascii="Times New Roman" w:hAnsi="Times New Roman"/>
          <w:sz w:val="26"/>
        </w:rPr>
        <w:t xml:space="preserve">GREEMENT is entered into by and </w:t>
      </w:r>
      <w:r>
        <w:rPr>
          <w:rFonts w:ascii="Times New Roman" w:hAnsi="Times New Roman"/>
          <w:sz w:val="26"/>
        </w:rPr>
        <w:t>between</w:t>
      </w:r>
      <w:r w:rsidR="00951257">
        <w:rPr>
          <w:rFonts w:ascii="Times New Roman" w:hAnsi="Times New Roman"/>
          <w:sz w:val="26"/>
        </w:rPr>
        <w:t xml:space="preserve"> </w:t>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rPr>
        <w:t xml:space="preserve"> </w:t>
      </w:r>
      <w:r w:rsidR="00E24BF8">
        <w:rPr>
          <w:rFonts w:ascii="Times New Roman" w:hAnsi="Times New Roman"/>
          <w:sz w:val="26"/>
          <w:u w:val="single"/>
        </w:rPr>
        <w:tab/>
      </w:r>
      <w:r>
        <w:rPr>
          <w:rFonts w:ascii="Times New Roman" w:hAnsi="Times New Roman"/>
          <w:sz w:val="26"/>
        </w:rPr>
        <w:t>(hereinafter “appellant”) and the Department of</w:t>
      </w:r>
      <w:r w:rsidR="00E24BF8">
        <w:rPr>
          <w:rFonts w:ascii="Times New Roman" w:hAnsi="Times New Roman"/>
          <w:sz w:val="26"/>
        </w:rPr>
        <w:t xml:space="preserve"> </w:t>
      </w:r>
      <w:r w:rsidR="00E24BF8" w:rsidRP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rPr>
        <w:t xml:space="preserve"> </w:t>
      </w:r>
      <w:r>
        <w:rPr>
          <w:rFonts w:ascii="Times New Roman" w:hAnsi="Times New Roman"/>
          <w:sz w:val="26"/>
        </w:rPr>
        <w:t>(hereinafter “the government”).</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3B6E4B">
      <w:pPr>
        <w:tabs>
          <w:tab w:val="left" w:pos="576"/>
          <w:tab w:val="left" w:pos="1296"/>
          <w:tab w:val="left" w:pos="2016"/>
          <w:tab w:val="left" w:pos="2736"/>
          <w:tab w:val="left" w:pos="3456"/>
          <w:tab w:val="right" w:pos="9090"/>
        </w:tabs>
        <w:spacing w:line="-300" w:lineRule="auto"/>
        <w:ind w:right="-18"/>
        <w:rPr>
          <w:rFonts w:ascii="Times New Roman" w:hAnsi="Times New Roman"/>
          <w:sz w:val="26"/>
        </w:rPr>
      </w:pPr>
      <w:r>
        <w:rPr>
          <w:rFonts w:ascii="Times New Roman" w:hAnsi="Times New Roman"/>
          <w:sz w:val="26"/>
        </w:rPr>
        <w:tab/>
        <w:t>WHEREAS, appellant and the government entered into Contract No.</w:t>
      </w:r>
      <w:r w:rsidR="003B6E4B">
        <w:rPr>
          <w:rFonts w:ascii="Times New Roman" w:hAnsi="Times New Roman"/>
          <w:sz w:val="26"/>
        </w:rPr>
        <w:t> </w:t>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Pr>
          <w:rFonts w:ascii="Times New Roman" w:hAnsi="Times New Roman"/>
          <w:sz w:val="26"/>
        </w:rPr>
        <w:t xml:space="preserve">; </w:t>
      </w:r>
      <w:proofErr w:type="gramStart"/>
      <w:r>
        <w:rPr>
          <w:rFonts w:ascii="Times New Roman" w:hAnsi="Times New Roman"/>
          <w:sz w:val="26"/>
        </w:rPr>
        <w:t>and</w:t>
      </w:r>
      <w:proofErr w:type="gramEnd"/>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lastRenderedPageBreak/>
        <w:tab/>
        <w:t>WHEREAS, appellant filed with the Armed Services Board of Contract Appeals (hereinafter the “ASBCA”) an appeal under said contract;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2913B6" w:rsidRDefault="001576F4" w:rsidP="003B6E4B">
      <w:pPr>
        <w:tabs>
          <w:tab w:val="left" w:pos="576"/>
          <w:tab w:val="left" w:pos="1296"/>
          <w:tab w:val="left" w:pos="2016"/>
          <w:tab w:val="left" w:pos="2736"/>
          <w:tab w:val="left" w:pos="3456"/>
          <w:tab w:val="right" w:pos="9090"/>
        </w:tabs>
        <w:spacing w:line="-300" w:lineRule="auto"/>
        <w:ind w:right="-18"/>
        <w:rPr>
          <w:rFonts w:ascii="Times New Roman" w:hAnsi="Times New Roman"/>
          <w:sz w:val="26"/>
          <w:u w:val="single"/>
        </w:rPr>
      </w:pPr>
      <w:r>
        <w:rPr>
          <w:rFonts w:ascii="Times New Roman" w:hAnsi="Times New Roman"/>
          <w:sz w:val="26"/>
        </w:rPr>
        <w:tab/>
        <w:t>WHEREAS, said appeal is designated ASBCA No.</w:t>
      </w:r>
      <w:r w:rsidR="003B6E4B">
        <w:rPr>
          <w:rFonts w:ascii="Times New Roman" w:hAnsi="Times New Roman"/>
          <w:sz w:val="26"/>
        </w:rPr>
        <w:t xml:space="preserve"> </w:t>
      </w:r>
      <w:r w:rsidR="003B6E4B">
        <w:rPr>
          <w:rFonts w:ascii="Times New Roman" w:hAnsi="Times New Roman"/>
          <w:sz w:val="26"/>
          <w:u w:val="single"/>
        </w:rPr>
        <w:tab/>
      </w:r>
      <w:r>
        <w:rPr>
          <w:rFonts w:ascii="Times New Roman" w:hAnsi="Times New Roman"/>
          <w:sz w:val="26"/>
        </w:rPr>
        <w:t xml:space="preserve">; </w:t>
      </w:r>
      <w:proofErr w:type="gramStart"/>
      <w:r>
        <w:rPr>
          <w:rFonts w:ascii="Times New Roman" w:hAnsi="Times New Roman"/>
          <w:sz w:val="26"/>
        </w:rPr>
        <w:t>and</w:t>
      </w:r>
      <w:proofErr w:type="gramEnd"/>
    </w:p>
    <w:p w:rsidR="00302A39" w:rsidRDefault="00302A39"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302A39" w:rsidP="00302A39">
      <w:pPr>
        <w:tabs>
          <w:tab w:val="left" w:pos="576"/>
          <w:tab w:val="left" w:pos="1296"/>
          <w:tab w:val="left" w:pos="2016"/>
          <w:tab w:val="left" w:pos="2736"/>
          <w:tab w:val="left" w:pos="3456"/>
          <w:tab w:val="left" w:pos="4320"/>
          <w:tab w:val="left" w:pos="4680"/>
          <w:tab w:val="left" w:pos="6210"/>
          <w:tab w:val="left" w:pos="8550"/>
        </w:tabs>
        <w:spacing w:line="-300" w:lineRule="auto"/>
        <w:ind w:right="-18"/>
        <w:rPr>
          <w:rFonts w:ascii="Times New Roman" w:hAnsi="Times New Roman"/>
          <w:sz w:val="26"/>
        </w:rPr>
      </w:pPr>
      <w:r>
        <w:rPr>
          <w:rFonts w:ascii="Times New Roman" w:hAnsi="Times New Roman"/>
          <w:sz w:val="26"/>
        </w:rPr>
        <w:tab/>
        <w:t xml:space="preserve">WHEREAS, ASBCA No. </w:t>
      </w: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r>
      <w:r>
        <w:rPr>
          <w:rFonts w:ascii="Times New Roman" w:hAnsi="Times New Roman"/>
          <w:sz w:val="26"/>
        </w:rPr>
        <w:t xml:space="preserve"> </w:t>
      </w:r>
      <w:proofErr w:type="gramStart"/>
      <w:r>
        <w:rPr>
          <w:rFonts w:ascii="Times New Roman" w:hAnsi="Times New Roman"/>
          <w:sz w:val="26"/>
        </w:rPr>
        <w:t>involves</w:t>
      </w:r>
      <w:proofErr w:type="gramEnd"/>
      <w:r>
        <w:rPr>
          <w:rFonts w:ascii="Times New Roman" w:hAnsi="Times New Roman"/>
          <w:sz w:val="26"/>
        </w:rPr>
        <w:t xml:space="preserve"> claims by </w:t>
      </w:r>
      <w:r>
        <w:rPr>
          <w:rFonts w:ascii="Times New Roman" w:hAnsi="Times New Roman"/>
          <w:sz w:val="26"/>
          <w:u w:val="single"/>
        </w:rPr>
        <w:t>[appellant / the government for</w:t>
      </w: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t>]</w:t>
      </w:r>
      <w:r>
        <w:rPr>
          <w:rFonts w:ascii="Times New Roman" w:hAnsi="Times New Roman"/>
          <w:sz w:val="26"/>
        </w:rPr>
        <w:t xml:space="preserve"> in the amount of $</w:t>
      </w:r>
      <w:r>
        <w:rPr>
          <w:rFonts w:ascii="Times New Roman" w:hAnsi="Times New Roman"/>
          <w:sz w:val="26"/>
          <w:u w:val="single"/>
        </w:rPr>
        <w:tab/>
      </w:r>
      <w:r>
        <w:rPr>
          <w:rFonts w:ascii="Times New Roman" w:hAnsi="Times New Roman"/>
          <w:sz w:val="26"/>
        </w:rPr>
        <w:t>; and</w:t>
      </w:r>
    </w:p>
    <w:p w:rsidR="00302A39"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r>
    </w:p>
    <w:p w:rsidR="001576F4" w:rsidRDefault="0005327A"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r>
      <w:r w:rsidR="001576F4">
        <w:rPr>
          <w:rFonts w:ascii="Times New Roman" w:hAnsi="Times New Roman"/>
          <w:sz w:val="26"/>
        </w:rPr>
        <w:t>WHEREAS, the parties wish to resolve the appeal by alternative dispute resolution, specifically utilizing mediation;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WHEREAS, the ASBCA is authorized to resolve disputes by alternative dispute resolution under its Charter;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NOW THEREFORE, the parties mutually stipulate and agree as follows:  </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947916">
      <w:pPr>
        <w:tabs>
          <w:tab w:val="left" w:pos="576"/>
          <w:tab w:val="left" w:pos="1296"/>
          <w:tab w:val="left" w:pos="2016"/>
          <w:tab w:val="left" w:pos="2736"/>
          <w:tab w:val="left" w:pos="3456"/>
          <w:tab w:val="left" w:pos="4860"/>
          <w:tab w:val="left" w:pos="9090"/>
        </w:tabs>
        <w:spacing w:line="-300" w:lineRule="auto"/>
        <w:ind w:right="-18"/>
        <w:rPr>
          <w:rFonts w:ascii="Times New Roman" w:hAnsi="Times New Roman"/>
          <w:sz w:val="26"/>
        </w:rPr>
      </w:pPr>
      <w:r>
        <w:rPr>
          <w:rFonts w:ascii="Times New Roman" w:hAnsi="Times New Roman"/>
          <w:sz w:val="26"/>
        </w:rPr>
        <w:tab/>
        <w:t xml:space="preserve">1.  </w:t>
      </w:r>
      <w:r>
        <w:rPr>
          <w:rFonts w:ascii="Times New Roman" w:hAnsi="Times New Roman"/>
          <w:sz w:val="26"/>
          <w:u w:val="single"/>
        </w:rPr>
        <w:t>Schedule</w:t>
      </w:r>
      <w:r>
        <w:rPr>
          <w:rFonts w:ascii="Times New Roman" w:hAnsi="Times New Roman"/>
          <w:sz w:val="26"/>
        </w:rPr>
        <w:t xml:space="preserve">.  The ADR proceeding on the appeal is scheduled for </w:t>
      </w:r>
      <w:r w:rsidR="005C7BFF">
        <w:rPr>
          <w:rFonts w:ascii="Times New Roman" w:hAnsi="Times New Roman"/>
          <w:sz w:val="26"/>
          <w:u w:val="single"/>
        </w:rPr>
        <w:tab/>
      </w:r>
      <w:r w:rsidR="005C7BFF">
        <w:rPr>
          <w:rFonts w:ascii="Times New Roman" w:hAnsi="Times New Roman"/>
          <w:sz w:val="26"/>
        </w:rPr>
        <w:t xml:space="preserve"> </w:t>
      </w:r>
      <w:r>
        <w:rPr>
          <w:rFonts w:ascii="Times New Roman" w:hAnsi="Times New Roman"/>
          <w:sz w:val="26"/>
        </w:rPr>
        <w:t>days(s), namely</w:t>
      </w:r>
      <w:proofErr w:type="gramStart"/>
      <w:r>
        <w:rPr>
          <w:rFonts w:ascii="Times New Roman" w:hAnsi="Times New Roman"/>
          <w:sz w:val="26"/>
        </w:rPr>
        <w:t>:</w:t>
      </w:r>
      <w:r w:rsidR="00947916">
        <w:rPr>
          <w:rFonts w:ascii="Times New Roman" w:hAnsi="Times New Roman"/>
          <w:sz w:val="26"/>
        </w:rPr>
        <w:t xml:space="preserve">  </w:t>
      </w:r>
      <w:r w:rsidR="00947916">
        <w:rPr>
          <w:rFonts w:ascii="Times New Roman" w:hAnsi="Times New Roman"/>
          <w:sz w:val="26"/>
          <w:u w:val="single"/>
        </w:rPr>
        <w:tab/>
      </w:r>
      <w:r w:rsidR="00947916">
        <w:rPr>
          <w:rFonts w:ascii="Times New Roman" w:hAnsi="Times New Roman"/>
          <w:sz w:val="26"/>
          <w:u w:val="single"/>
        </w:rPr>
        <w:tab/>
      </w:r>
      <w:r w:rsidR="00947916">
        <w:rPr>
          <w:rFonts w:ascii="Times New Roman" w:hAnsi="Times New Roman"/>
          <w:sz w:val="26"/>
          <w:u w:val="single"/>
        </w:rPr>
        <w:tab/>
      </w:r>
      <w:r w:rsidR="00947916">
        <w:rPr>
          <w:rFonts w:ascii="Times New Roman" w:hAnsi="Times New Roman"/>
          <w:sz w:val="26"/>
          <w:u w:val="single"/>
        </w:rPr>
        <w:tab/>
      </w:r>
      <w:r>
        <w:rPr>
          <w:rFonts w:ascii="Times New Roman" w:hAnsi="Times New Roman"/>
          <w:sz w:val="26"/>
        </w:rPr>
        <w:t>,</w:t>
      </w:r>
      <w:proofErr w:type="gramEnd"/>
      <w:r>
        <w:rPr>
          <w:rFonts w:ascii="Times New Roman" w:hAnsi="Times New Roman"/>
          <w:sz w:val="26"/>
        </w:rPr>
        <w:t xml:space="preserve"> at the Board (or other agreed location).</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2.  </w:t>
      </w:r>
      <w:r w:rsidR="002A38C3">
        <w:rPr>
          <w:rFonts w:ascii="Times New Roman" w:hAnsi="Times New Roman"/>
          <w:sz w:val="26"/>
        </w:rPr>
        <w:t>[Mandatory</w:t>
      </w:r>
      <w:proofErr w:type="gramStart"/>
      <w:r w:rsidR="002A38C3">
        <w:rPr>
          <w:rFonts w:ascii="Times New Roman" w:hAnsi="Times New Roman"/>
          <w:sz w:val="26"/>
        </w:rPr>
        <w:t xml:space="preserve">] </w:t>
      </w:r>
      <w:r w:rsidR="00947916">
        <w:rPr>
          <w:rFonts w:ascii="Times New Roman" w:hAnsi="Times New Roman"/>
          <w:sz w:val="26"/>
        </w:rPr>
        <w:t xml:space="preserve"> </w:t>
      </w:r>
      <w:r>
        <w:rPr>
          <w:rFonts w:ascii="Times New Roman" w:hAnsi="Times New Roman"/>
          <w:sz w:val="26"/>
          <w:u w:val="single"/>
        </w:rPr>
        <w:t>Neutral</w:t>
      </w:r>
      <w:proofErr w:type="gramEnd"/>
      <w:r>
        <w:rPr>
          <w:rFonts w:ascii="Times New Roman" w:hAnsi="Times New Roman"/>
          <w:sz w:val="26"/>
        </w:rPr>
        <w:t xml:space="preserve">.  The Neutral’s role will be to facilitate the parties’ settlement efforts.  The Neutral may meet with the parties either jointly or individually and to the extent necessary to foster a negotiated settlement of the dispute.  The Neutral’s recommendations are not binding on the parties.  </w:t>
      </w:r>
      <w:r w:rsidR="000D5917">
        <w:rPr>
          <w:rFonts w:ascii="Times New Roman" w:hAnsi="Times New Roman"/>
          <w:sz w:val="26"/>
        </w:rPr>
        <w:t>The Neutral shall have the same common law immunity as judges and arbitrators from suit for damages or equitable relief and from compulsory process to testify or produce evidence based on or concerning any action, statement, or communication in or concerning the ADR proceeding.  The parties understand that there is no attorney</w:t>
      </w:r>
      <w:r w:rsidR="000D5917">
        <w:rPr>
          <w:rFonts w:ascii="Times New Roman" w:hAnsi="Times New Roman"/>
          <w:sz w:val="26"/>
        </w:rPr>
        <w:noBreakHyphen/>
        <w:t>client relationship between the Neutral and any party to this Agreement, and each party acknowledges that it will seek and rely on legal advice solely from its own counsel and not from the Neutral.  The parties agree, on behalf of themselves and their counsel, that they will not call or subpoena the Neutral in any legal action or administrative proceeding of any kind to produce any notes or documents related to the ADR proceeding or to testify concerning any such notes or documents or his/her thoughts or impressions.</w:t>
      </w:r>
      <w:r w:rsidR="000D5917">
        <w:rPr>
          <w:rFonts w:ascii="Times New Roman" w:hAnsi="Times New Roman"/>
          <w:sz w:val="26"/>
        </w:rPr>
        <w:t xml:space="preserve">  </w:t>
      </w:r>
      <w:r>
        <w:rPr>
          <w:rFonts w:ascii="Times New Roman" w:hAnsi="Times New Roman"/>
          <w:sz w:val="26"/>
        </w:rPr>
        <w:t>[</w:t>
      </w:r>
      <w:r w:rsidR="0005327A">
        <w:rPr>
          <w:rFonts w:ascii="Times New Roman" w:hAnsi="Times New Roman"/>
          <w:sz w:val="26"/>
        </w:rPr>
        <w:t>NOTE</w:t>
      </w:r>
      <w:r w:rsidR="000D5917">
        <w:rPr>
          <w:rFonts w:ascii="Times New Roman" w:hAnsi="Times New Roman"/>
          <w:sz w:val="26"/>
        </w:rPr>
        <w:t>:  </w:t>
      </w:r>
      <w:r>
        <w:rPr>
          <w:rFonts w:ascii="Times New Roman" w:hAnsi="Times New Roman"/>
          <w:sz w:val="26"/>
        </w:rPr>
        <w:t>The Neutral will normally not participate further in the appeal if the parties’ efforts are unsuccessful, unless the parties seek the continued involvement of the Neutral.]</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3.  </w:t>
      </w:r>
      <w:r>
        <w:rPr>
          <w:rFonts w:ascii="Times New Roman" w:hAnsi="Times New Roman"/>
          <w:sz w:val="26"/>
          <w:u w:val="single"/>
        </w:rPr>
        <w:t>Exhibits</w:t>
      </w:r>
      <w:r>
        <w:rPr>
          <w:rFonts w:ascii="Times New Roman" w:hAnsi="Times New Roman"/>
          <w:sz w:val="26"/>
        </w:rPr>
        <w:t>.  [</w:t>
      </w:r>
      <w:r w:rsidR="0005327A">
        <w:rPr>
          <w:rFonts w:ascii="Times New Roman" w:hAnsi="Times New Roman"/>
          <w:sz w:val="26"/>
        </w:rPr>
        <w:t xml:space="preserve">NOTE:  </w:t>
      </w:r>
      <w:r>
        <w:rPr>
          <w:rFonts w:ascii="Times New Roman" w:hAnsi="Times New Roman"/>
          <w:sz w:val="26"/>
        </w:rPr>
        <w:t>The parties should agree on what exhibits will be presented in the mediation.</w:t>
      </w:r>
      <w:r w:rsidR="002A38C3">
        <w:rPr>
          <w:rFonts w:ascii="Times New Roman" w:hAnsi="Times New Roman"/>
          <w:sz w:val="26"/>
        </w:rPr>
        <w:t>]</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4.  </w:t>
      </w:r>
      <w:r>
        <w:rPr>
          <w:rFonts w:ascii="Times New Roman" w:hAnsi="Times New Roman"/>
          <w:sz w:val="26"/>
          <w:u w:val="single"/>
        </w:rPr>
        <w:t>Transcript</w:t>
      </w:r>
      <w:r>
        <w:rPr>
          <w:rFonts w:ascii="Times New Roman" w:hAnsi="Times New Roman"/>
          <w:sz w:val="26"/>
        </w:rPr>
        <w:t>.  A transcript of the proceedings will not be prepared.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lastRenderedPageBreak/>
        <w:tab/>
        <w:t xml:space="preserve">5.  </w:t>
      </w:r>
      <w:r>
        <w:rPr>
          <w:rFonts w:ascii="Times New Roman" w:hAnsi="Times New Roman"/>
          <w:sz w:val="26"/>
          <w:u w:val="single"/>
        </w:rPr>
        <w:t>Agenda</w:t>
      </w:r>
      <w:r>
        <w:rPr>
          <w:rFonts w:ascii="Times New Roman" w:hAnsi="Times New Roman"/>
          <w:sz w:val="26"/>
        </w:rPr>
        <w:t>.  The presentations of the parties will be informal and the rules of evidence are waived.  The Neutral may, nonetheless, guide the presentation of evidence.  [</w:t>
      </w:r>
      <w:r w:rsidR="0005327A">
        <w:rPr>
          <w:rFonts w:ascii="Times New Roman" w:hAnsi="Times New Roman"/>
          <w:sz w:val="26"/>
        </w:rPr>
        <w:t xml:space="preserve">NOTE:  </w:t>
      </w:r>
      <w:r>
        <w:rPr>
          <w:rFonts w:ascii="Times New Roman" w:hAnsi="Times New Roman"/>
          <w:sz w:val="26"/>
        </w:rPr>
        <w:t>The parties should spell out how they wish to make their informal presentations and agree on time to be allotted to various phases of the process.  It is often helpful for each party to submit a brief position paper (3 to 5 pages) sufficiently in advance of the proceeding for the Neutral to consider it in connection with the record agreed to by the parties.]</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6.  </w:t>
      </w:r>
      <w:r w:rsidR="002A38C3">
        <w:rPr>
          <w:rFonts w:ascii="Times New Roman" w:hAnsi="Times New Roman"/>
          <w:sz w:val="26"/>
        </w:rPr>
        <w:t>[Mandatory</w:t>
      </w:r>
      <w:proofErr w:type="gramStart"/>
      <w:r w:rsidR="002A38C3">
        <w:rPr>
          <w:rFonts w:ascii="Times New Roman" w:hAnsi="Times New Roman"/>
          <w:sz w:val="26"/>
        </w:rPr>
        <w:t xml:space="preserve">] </w:t>
      </w:r>
      <w:r w:rsidR="00947916">
        <w:rPr>
          <w:rFonts w:ascii="Times New Roman" w:hAnsi="Times New Roman"/>
          <w:sz w:val="26"/>
        </w:rPr>
        <w:t xml:space="preserve"> </w:t>
      </w:r>
      <w:r>
        <w:rPr>
          <w:rFonts w:ascii="Times New Roman" w:hAnsi="Times New Roman"/>
          <w:sz w:val="26"/>
          <w:u w:val="single"/>
        </w:rPr>
        <w:t>Participants</w:t>
      </w:r>
      <w:proofErr w:type="gramEnd"/>
      <w:r>
        <w:rPr>
          <w:rFonts w:ascii="Times New Roman" w:hAnsi="Times New Roman"/>
          <w:sz w:val="26"/>
        </w:rPr>
        <w:t>.  Each party will include among its representatives a principal with authority to settle the appeal.</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7.  </w:t>
      </w:r>
      <w:r>
        <w:rPr>
          <w:rFonts w:ascii="Times New Roman" w:hAnsi="Times New Roman"/>
          <w:sz w:val="26"/>
          <w:u w:val="single"/>
        </w:rPr>
        <w:t>Use of statements and documents</w:t>
      </w:r>
      <w:r>
        <w:rPr>
          <w:rFonts w:ascii="Times New Roman" w:hAnsi="Times New Roman"/>
          <w:sz w:val="26"/>
        </w:rPr>
        <w:t>.  The admissibility</w:t>
      </w:r>
      <w:r w:rsidR="0062719C">
        <w:rPr>
          <w:rFonts w:ascii="Times New Roman" w:hAnsi="Times New Roman"/>
          <w:sz w:val="26"/>
        </w:rPr>
        <w:t>, in any further proceedings before the Board,</w:t>
      </w:r>
      <w:r>
        <w:rPr>
          <w:rFonts w:ascii="Times New Roman" w:hAnsi="Times New Roman"/>
          <w:sz w:val="26"/>
        </w:rPr>
        <w:t xml:space="preserve"> of statements made or documents used in connection with the ADR proceeding will be </w:t>
      </w:r>
      <w:r w:rsidR="0062719C">
        <w:rPr>
          <w:rFonts w:ascii="Times New Roman" w:hAnsi="Times New Roman"/>
          <w:sz w:val="26"/>
        </w:rPr>
        <w:t>guided</w:t>
      </w:r>
      <w:r>
        <w:rPr>
          <w:rFonts w:ascii="Times New Roman" w:hAnsi="Times New Roman"/>
          <w:sz w:val="26"/>
        </w:rPr>
        <w:t xml:space="preserve"> by Federal Rule of Evidence 408.</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8.  </w:t>
      </w:r>
      <w:r>
        <w:rPr>
          <w:rFonts w:ascii="Times New Roman" w:hAnsi="Times New Roman"/>
          <w:sz w:val="26"/>
          <w:u w:val="single"/>
        </w:rPr>
        <w:t>Fees and expenses</w:t>
      </w:r>
      <w:r>
        <w:rPr>
          <w:rFonts w:ascii="Times New Roman" w:hAnsi="Times New Roman"/>
          <w:sz w:val="26"/>
        </w:rPr>
        <w:t>.  Each party will bear its own fees and expenses, including but not limited to attorney and agent fees and compensation for witnesses, incurred incidental to the ADR proceeding.</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9.  </w:t>
      </w:r>
      <w:r w:rsidR="002A38C3">
        <w:rPr>
          <w:rFonts w:ascii="Times New Roman" w:hAnsi="Times New Roman"/>
          <w:sz w:val="26"/>
        </w:rPr>
        <w:t>[Mandatory</w:t>
      </w:r>
      <w:proofErr w:type="gramStart"/>
      <w:r w:rsidR="002A38C3">
        <w:rPr>
          <w:rFonts w:ascii="Times New Roman" w:hAnsi="Times New Roman"/>
          <w:sz w:val="26"/>
        </w:rPr>
        <w:t xml:space="preserve">] </w:t>
      </w:r>
      <w:r w:rsidR="00947916">
        <w:rPr>
          <w:rFonts w:ascii="Times New Roman" w:hAnsi="Times New Roman"/>
          <w:sz w:val="26"/>
        </w:rPr>
        <w:t xml:space="preserve"> </w:t>
      </w:r>
      <w:r>
        <w:rPr>
          <w:rFonts w:ascii="Times New Roman" w:hAnsi="Times New Roman"/>
          <w:sz w:val="26"/>
          <w:u w:val="single"/>
        </w:rPr>
        <w:t>Good</w:t>
      </w:r>
      <w:proofErr w:type="gramEnd"/>
      <w:r>
        <w:rPr>
          <w:rFonts w:ascii="Times New Roman" w:hAnsi="Times New Roman"/>
          <w:sz w:val="26"/>
          <w:u w:val="single"/>
        </w:rPr>
        <w:t xml:space="preserve"> faith</w:t>
      </w:r>
      <w:r>
        <w:rPr>
          <w:rFonts w:ascii="Times New Roman" w:hAnsi="Times New Roman"/>
          <w:sz w:val="26"/>
        </w:rPr>
        <w:t>.  All participants in the ADR proceeding agree to act in good faith in all aspects of the proceeding with the view of resolving the dispute.</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5C7BFF" w:rsidRDefault="009A4AFF"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10</w:t>
      </w:r>
      <w:r w:rsidR="002A38C3">
        <w:rPr>
          <w:rFonts w:ascii="Times New Roman" w:hAnsi="Times New Roman"/>
          <w:sz w:val="26"/>
        </w:rPr>
        <w:t>.  [Mandatory</w:t>
      </w:r>
      <w:proofErr w:type="gramStart"/>
      <w:r w:rsidR="002A38C3">
        <w:rPr>
          <w:rFonts w:ascii="Times New Roman" w:hAnsi="Times New Roman"/>
          <w:sz w:val="26"/>
        </w:rPr>
        <w:t xml:space="preserve">] </w:t>
      </w:r>
      <w:r w:rsidR="00947916">
        <w:rPr>
          <w:rFonts w:ascii="Times New Roman" w:hAnsi="Times New Roman"/>
          <w:sz w:val="26"/>
        </w:rPr>
        <w:t xml:space="preserve"> </w:t>
      </w:r>
      <w:r w:rsidRPr="009A4AFF">
        <w:rPr>
          <w:rFonts w:ascii="Times New Roman" w:hAnsi="Times New Roman"/>
          <w:sz w:val="26"/>
          <w:u w:val="single"/>
        </w:rPr>
        <w:t>Post</w:t>
      </w:r>
      <w:proofErr w:type="gramEnd"/>
      <w:r w:rsidRPr="009A4AFF">
        <w:rPr>
          <w:rFonts w:ascii="Times New Roman" w:hAnsi="Times New Roman"/>
          <w:sz w:val="26"/>
          <w:u w:val="single"/>
        </w:rPr>
        <w:t>-ADR</w:t>
      </w:r>
      <w:r>
        <w:rPr>
          <w:rFonts w:ascii="Times New Roman" w:hAnsi="Times New Roman"/>
          <w:sz w:val="26"/>
        </w:rPr>
        <w:t xml:space="preserve">.  </w:t>
      </w:r>
      <w:r w:rsidR="005C7BFF" w:rsidRPr="009A4AFF">
        <w:rPr>
          <w:rFonts w:ascii="Times New Roman" w:hAnsi="Times New Roman"/>
          <w:sz w:val="26"/>
        </w:rPr>
        <w:t>The</w:t>
      </w:r>
      <w:r w:rsidR="005C7BFF">
        <w:rPr>
          <w:rFonts w:ascii="Times New Roman" w:hAnsi="Times New Roman"/>
          <w:sz w:val="26"/>
        </w:rPr>
        <w:t xml:space="preserve"> Board will return any written materials created solely for use in the ADR to the creating party if requested by the party within 10 days of the conclusion of the ADR proceeding.  The following documents will not be returned or destroyed:  the parties’ ADR agreement; documents provided to the Board prior to its approval of the ADR agreement, including documents in a Rule 4 file and routine correspondence with the Board concerning the election and scheduling of the ADR; and any documents necessary for the Board’s recordkeeping purposes, such as any settlement agreement entered into which serves as a basis for later dismissal of the matter.  All other dispute resolution communications rem</w:t>
      </w:r>
      <w:bookmarkStart w:id="0" w:name="_GoBack"/>
      <w:bookmarkEnd w:id="0"/>
      <w:r w:rsidR="005C7BFF">
        <w:rPr>
          <w:rFonts w:ascii="Times New Roman" w:hAnsi="Times New Roman"/>
          <w:sz w:val="26"/>
        </w:rPr>
        <w:t>aining in the Board’s possession will be destroyed as the Board deems appropriate.</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r>
        <w:rPr>
          <w:rFonts w:ascii="Times New Roman" w:hAnsi="Times New Roman"/>
          <w:sz w:val="26"/>
        </w:rPr>
        <w:tab/>
        <w:t xml:space="preserve">APPELLANT </w:t>
      </w:r>
      <w:r>
        <w:rPr>
          <w:rFonts w:ascii="Times New Roman" w:hAnsi="Times New Roman"/>
          <w:sz w:val="26"/>
        </w:rPr>
        <w:tab/>
        <w:t>GOVERNMENT AGENCY</w:t>
      </w:r>
    </w:p>
    <w:p w:rsidR="001576F4" w:rsidRDefault="001576F4" w:rsidP="004E6E99">
      <w:pPr>
        <w:tabs>
          <w:tab w:val="left" w:pos="576"/>
          <w:tab w:val="left" w:pos="4500"/>
        </w:tabs>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r>
        <w:rPr>
          <w:rFonts w:ascii="Times New Roman" w:hAnsi="Times New Roman"/>
          <w:sz w:val="26"/>
        </w:rPr>
        <w:t>By:</w:t>
      </w:r>
      <w:r>
        <w:rPr>
          <w:rFonts w:ascii="Times New Roman" w:hAnsi="Times New Roman"/>
          <w:sz w:val="26"/>
        </w:rPr>
        <w:tab/>
      </w:r>
      <w:r>
        <w:rPr>
          <w:rFonts w:ascii="Times New Roman" w:hAnsi="Times New Roman"/>
          <w:sz w:val="26"/>
          <w:u w:val="single"/>
        </w:rPr>
        <w:t>                              </w:t>
      </w:r>
      <w:r>
        <w:rPr>
          <w:rFonts w:ascii="Times New Roman" w:hAnsi="Times New Roman"/>
          <w:sz w:val="26"/>
        </w:rPr>
        <w:t xml:space="preserve"> </w:t>
      </w:r>
      <w:r>
        <w:rPr>
          <w:rFonts w:ascii="Times New Roman" w:hAnsi="Times New Roman"/>
          <w:sz w:val="26"/>
        </w:rPr>
        <w:tab/>
        <w:t xml:space="preserve">By: </w:t>
      </w:r>
      <w:r>
        <w:rPr>
          <w:rFonts w:ascii="Times New Roman" w:hAnsi="Times New Roman"/>
          <w:sz w:val="26"/>
          <w:u w:val="single"/>
        </w:rPr>
        <w:t>                              </w:t>
      </w:r>
    </w:p>
    <w:p w:rsidR="001576F4" w:rsidRDefault="001576F4" w:rsidP="004E6E99">
      <w:pPr>
        <w:tabs>
          <w:tab w:val="left" w:pos="576"/>
          <w:tab w:val="left" w:pos="4500"/>
        </w:tabs>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p>
    <w:p w:rsidR="003A357D" w:rsidRPr="003A357D" w:rsidRDefault="001576F4" w:rsidP="005C7BFF">
      <w:pPr>
        <w:tabs>
          <w:tab w:val="left" w:pos="576"/>
          <w:tab w:val="left" w:pos="4500"/>
        </w:tabs>
        <w:ind w:right="-18"/>
      </w:pPr>
      <w:r>
        <w:rPr>
          <w:rFonts w:ascii="Times New Roman" w:hAnsi="Times New Roman"/>
          <w:sz w:val="26"/>
        </w:rPr>
        <w:t xml:space="preserve">Date </w:t>
      </w:r>
      <w:r>
        <w:rPr>
          <w:rFonts w:ascii="Times New Roman" w:hAnsi="Times New Roman"/>
          <w:sz w:val="26"/>
          <w:u w:val="single"/>
        </w:rPr>
        <w:t xml:space="preserve">                </w:t>
      </w:r>
      <w:r>
        <w:rPr>
          <w:rFonts w:ascii="Times New Roman" w:hAnsi="Times New Roman"/>
          <w:sz w:val="26"/>
        </w:rPr>
        <w:tab/>
      </w:r>
      <w:proofErr w:type="spellStart"/>
      <w:r>
        <w:rPr>
          <w:rFonts w:ascii="Times New Roman" w:hAnsi="Times New Roman"/>
          <w:sz w:val="26"/>
        </w:rPr>
        <w:t>Date</w:t>
      </w:r>
      <w:proofErr w:type="spellEnd"/>
      <w:r>
        <w:rPr>
          <w:rFonts w:ascii="Times New Roman" w:hAnsi="Times New Roman"/>
          <w:sz w:val="26"/>
        </w:rPr>
        <w:t xml:space="preserve"> </w:t>
      </w:r>
      <w:r>
        <w:rPr>
          <w:rFonts w:ascii="Times New Roman" w:hAnsi="Times New Roman"/>
          <w:sz w:val="26"/>
          <w:u w:val="single"/>
        </w:rPr>
        <w:t xml:space="preserve">                </w:t>
      </w:r>
    </w:p>
    <w:sectPr w:rsidR="003A357D" w:rsidRPr="003A357D" w:rsidSect="003A0835">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B4" w:rsidRDefault="00EB1FB4" w:rsidP="00EB1FB4">
      <w:r>
        <w:separator/>
      </w:r>
    </w:p>
  </w:endnote>
  <w:endnote w:type="continuationSeparator" w:id="0">
    <w:p w:rsidR="00EB1FB4" w:rsidRDefault="00EB1FB4" w:rsidP="00EB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B4" w:rsidRDefault="00EB1FB4" w:rsidP="00EB1FB4">
      <w:r>
        <w:separator/>
      </w:r>
    </w:p>
  </w:footnote>
  <w:footnote w:type="continuationSeparator" w:id="0">
    <w:p w:rsidR="00EB1FB4" w:rsidRDefault="00EB1FB4" w:rsidP="00EB1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F4"/>
    <w:rsid w:val="00014072"/>
    <w:rsid w:val="00021C7C"/>
    <w:rsid w:val="0005327A"/>
    <w:rsid w:val="00062CC5"/>
    <w:rsid w:val="00070C35"/>
    <w:rsid w:val="000B591C"/>
    <w:rsid w:val="000D4BF1"/>
    <w:rsid w:val="000D5917"/>
    <w:rsid w:val="000F00AC"/>
    <w:rsid w:val="000F4BFB"/>
    <w:rsid w:val="000F6B09"/>
    <w:rsid w:val="00130149"/>
    <w:rsid w:val="00145A27"/>
    <w:rsid w:val="001576F4"/>
    <w:rsid w:val="00181BEA"/>
    <w:rsid w:val="0018240E"/>
    <w:rsid w:val="001B58D6"/>
    <w:rsid w:val="001C7F67"/>
    <w:rsid w:val="001D3CA8"/>
    <w:rsid w:val="00212EF5"/>
    <w:rsid w:val="00217568"/>
    <w:rsid w:val="00217B54"/>
    <w:rsid w:val="00220CFE"/>
    <w:rsid w:val="00231DCB"/>
    <w:rsid w:val="002529FB"/>
    <w:rsid w:val="00272EE0"/>
    <w:rsid w:val="002913B6"/>
    <w:rsid w:val="00297CA6"/>
    <w:rsid w:val="002A269C"/>
    <w:rsid w:val="002A38C3"/>
    <w:rsid w:val="002B3BEB"/>
    <w:rsid w:val="002B3F87"/>
    <w:rsid w:val="002C5155"/>
    <w:rsid w:val="002E7047"/>
    <w:rsid w:val="00302A39"/>
    <w:rsid w:val="00324B3F"/>
    <w:rsid w:val="00325DB0"/>
    <w:rsid w:val="00395E8A"/>
    <w:rsid w:val="003A0835"/>
    <w:rsid w:val="003A357D"/>
    <w:rsid w:val="003A3BCF"/>
    <w:rsid w:val="003B6E4B"/>
    <w:rsid w:val="003D1794"/>
    <w:rsid w:val="00414918"/>
    <w:rsid w:val="00432BEF"/>
    <w:rsid w:val="0045380C"/>
    <w:rsid w:val="0045620E"/>
    <w:rsid w:val="0047495E"/>
    <w:rsid w:val="004A30D8"/>
    <w:rsid w:val="004C0255"/>
    <w:rsid w:val="004D6BD2"/>
    <w:rsid w:val="004E518D"/>
    <w:rsid w:val="004E6E99"/>
    <w:rsid w:val="005032AD"/>
    <w:rsid w:val="005258D8"/>
    <w:rsid w:val="005427B5"/>
    <w:rsid w:val="005514B9"/>
    <w:rsid w:val="005720A8"/>
    <w:rsid w:val="005B27A1"/>
    <w:rsid w:val="005C7BFF"/>
    <w:rsid w:val="005F5046"/>
    <w:rsid w:val="00624DEF"/>
    <w:rsid w:val="0062719C"/>
    <w:rsid w:val="00665586"/>
    <w:rsid w:val="00670F7E"/>
    <w:rsid w:val="00673B31"/>
    <w:rsid w:val="006A5013"/>
    <w:rsid w:val="006B2517"/>
    <w:rsid w:val="006B46B3"/>
    <w:rsid w:val="006C42B0"/>
    <w:rsid w:val="006F18A6"/>
    <w:rsid w:val="00741815"/>
    <w:rsid w:val="00796814"/>
    <w:rsid w:val="007B10E6"/>
    <w:rsid w:val="007E3C02"/>
    <w:rsid w:val="00820B56"/>
    <w:rsid w:val="00821940"/>
    <w:rsid w:val="00826650"/>
    <w:rsid w:val="00855239"/>
    <w:rsid w:val="008707F0"/>
    <w:rsid w:val="00870B3E"/>
    <w:rsid w:val="008818F7"/>
    <w:rsid w:val="00882662"/>
    <w:rsid w:val="008859EB"/>
    <w:rsid w:val="008B65BF"/>
    <w:rsid w:val="008B74F8"/>
    <w:rsid w:val="008E6347"/>
    <w:rsid w:val="009346C4"/>
    <w:rsid w:val="00940917"/>
    <w:rsid w:val="00947916"/>
    <w:rsid w:val="00951257"/>
    <w:rsid w:val="009608CA"/>
    <w:rsid w:val="00961165"/>
    <w:rsid w:val="009742D8"/>
    <w:rsid w:val="00985219"/>
    <w:rsid w:val="009878D3"/>
    <w:rsid w:val="009A4AFF"/>
    <w:rsid w:val="009A68E2"/>
    <w:rsid w:val="009E3511"/>
    <w:rsid w:val="00A035A5"/>
    <w:rsid w:val="00A47706"/>
    <w:rsid w:val="00A86603"/>
    <w:rsid w:val="00AF0F81"/>
    <w:rsid w:val="00B13716"/>
    <w:rsid w:val="00B351FC"/>
    <w:rsid w:val="00BA0872"/>
    <w:rsid w:val="00BA6F6F"/>
    <w:rsid w:val="00BB0C1A"/>
    <w:rsid w:val="00BC27FA"/>
    <w:rsid w:val="00BD7BC1"/>
    <w:rsid w:val="00BE49C7"/>
    <w:rsid w:val="00BE4AD8"/>
    <w:rsid w:val="00C13ECE"/>
    <w:rsid w:val="00C75E9D"/>
    <w:rsid w:val="00CA3B01"/>
    <w:rsid w:val="00CB0DE7"/>
    <w:rsid w:val="00CC24FD"/>
    <w:rsid w:val="00D1613F"/>
    <w:rsid w:val="00D22C4C"/>
    <w:rsid w:val="00D82D47"/>
    <w:rsid w:val="00D955FA"/>
    <w:rsid w:val="00D974CA"/>
    <w:rsid w:val="00DB2B10"/>
    <w:rsid w:val="00E24BF8"/>
    <w:rsid w:val="00E455D7"/>
    <w:rsid w:val="00E542E8"/>
    <w:rsid w:val="00E86F45"/>
    <w:rsid w:val="00EA79DE"/>
    <w:rsid w:val="00EB1FB4"/>
    <w:rsid w:val="00EB3F6E"/>
    <w:rsid w:val="00EB4E08"/>
    <w:rsid w:val="00EC4AD7"/>
    <w:rsid w:val="00EC67BC"/>
    <w:rsid w:val="00F07DFD"/>
    <w:rsid w:val="00F551BA"/>
    <w:rsid w:val="00F9032D"/>
    <w:rsid w:val="00F9464D"/>
    <w:rsid w:val="00F96B1D"/>
    <w:rsid w:val="00FA4A59"/>
    <w:rsid w:val="00FB2801"/>
    <w:rsid w:val="00FC10EC"/>
    <w:rsid w:val="00FC1985"/>
    <w:rsid w:val="00FC19FC"/>
    <w:rsid w:val="00FD3612"/>
    <w:rsid w:val="00FF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6ACC87-5040-496E-85D1-BD5F454D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6F4"/>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D1794"/>
    <w:pPr>
      <w:overflowPunct/>
      <w:autoSpaceDE/>
      <w:autoSpaceDN/>
      <w:adjustRightInd/>
      <w:ind w:left="720" w:hanging="720"/>
    </w:pPr>
    <w:rPr>
      <w:rFonts w:ascii="Times New Roman" w:hAnsi="Times New Roman"/>
      <w:sz w:val="26"/>
    </w:rPr>
  </w:style>
  <w:style w:type="paragraph" w:styleId="EnvelopeAddress">
    <w:name w:val="envelope address"/>
    <w:basedOn w:val="Normal"/>
    <w:rsid w:val="003D1794"/>
    <w:pPr>
      <w:framePr w:w="7920" w:h="1980" w:hRule="exact" w:hSpace="180" w:wrap="auto" w:hAnchor="page" w:xAlign="center" w:yAlign="bottom"/>
      <w:overflowPunct/>
      <w:autoSpaceDE/>
      <w:autoSpaceDN/>
      <w:adjustRightInd/>
      <w:ind w:left="2880"/>
    </w:pPr>
    <w:rPr>
      <w:rFonts w:ascii="Times New Roman" w:hAnsi="Times New Roman" w:cs="Arial"/>
      <w:sz w:val="22"/>
      <w:szCs w:val="24"/>
    </w:rPr>
  </w:style>
  <w:style w:type="paragraph" w:styleId="Header">
    <w:name w:val="header"/>
    <w:basedOn w:val="Normal"/>
    <w:link w:val="HeaderChar"/>
    <w:unhideWhenUsed/>
    <w:rsid w:val="00EB1FB4"/>
    <w:pPr>
      <w:tabs>
        <w:tab w:val="center" w:pos="4680"/>
        <w:tab w:val="right" w:pos="9360"/>
      </w:tabs>
    </w:pPr>
  </w:style>
  <w:style w:type="character" w:customStyle="1" w:styleId="HeaderChar">
    <w:name w:val="Header Char"/>
    <w:basedOn w:val="DefaultParagraphFont"/>
    <w:link w:val="Header"/>
    <w:rsid w:val="00EB1FB4"/>
    <w:rPr>
      <w:rFonts w:ascii="Courier New" w:hAnsi="Courier New"/>
      <w:sz w:val="24"/>
    </w:rPr>
  </w:style>
  <w:style w:type="paragraph" w:styleId="Footer">
    <w:name w:val="footer"/>
    <w:basedOn w:val="Normal"/>
    <w:link w:val="FooterChar"/>
    <w:unhideWhenUsed/>
    <w:rsid w:val="00EB1FB4"/>
    <w:pPr>
      <w:tabs>
        <w:tab w:val="center" w:pos="4680"/>
        <w:tab w:val="right" w:pos="9360"/>
      </w:tabs>
    </w:pPr>
  </w:style>
  <w:style w:type="character" w:customStyle="1" w:styleId="FooterChar">
    <w:name w:val="Footer Char"/>
    <w:basedOn w:val="DefaultParagraphFont"/>
    <w:link w:val="Footer"/>
    <w:rsid w:val="00EB1FB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CSullins</cp:lastModifiedBy>
  <cp:revision>2</cp:revision>
  <dcterms:created xsi:type="dcterms:W3CDTF">2017-05-18T16:00:00Z</dcterms:created>
  <dcterms:modified xsi:type="dcterms:W3CDTF">2017-05-18T16:00:00Z</dcterms:modified>
</cp:coreProperties>
</file>